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Карнизова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НПО Профессиональное училище № 34 г. Электрогорск Московская область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D15545" w:rsidRDefault="00D155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5545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53B7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D15545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15545">
        <w:rPr>
          <w:rFonts w:ascii="Times New Roman" w:hAnsi="Times New Roman"/>
          <w:b/>
          <w:sz w:val="24"/>
        </w:rPr>
        <w:t xml:space="preserve">      </w:t>
      </w:r>
      <w:proofErr w:type="spellStart"/>
      <w:r w:rsidR="00D15545">
        <w:rPr>
          <w:rFonts w:ascii="Times New Roman" w:hAnsi="Times New Roman"/>
          <w:b/>
          <w:sz w:val="24"/>
          <w:szCs w:val="24"/>
        </w:rPr>
        <w:t>Карнизовой</w:t>
      </w:r>
      <w:proofErr w:type="spellEnd"/>
      <w:r w:rsidR="00D15545">
        <w:rPr>
          <w:rFonts w:ascii="Times New Roman" w:hAnsi="Times New Roman"/>
          <w:b/>
          <w:sz w:val="24"/>
          <w:szCs w:val="24"/>
        </w:rPr>
        <w:t xml:space="preserve"> Натальи Владимировны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</w:t>
      </w:r>
      <w:r w:rsidR="00D15545">
        <w:rPr>
          <w:rFonts w:ascii="Times New Roman" w:hAnsi="Times New Roman"/>
          <w:b/>
          <w:sz w:val="18"/>
        </w:rPr>
        <w:t xml:space="preserve">          </w:t>
      </w:r>
      <w:r w:rsidR="00793DA1">
        <w:rPr>
          <w:rFonts w:ascii="Times New Roman" w:hAnsi="Times New Roman"/>
          <w:b/>
          <w:sz w:val="18"/>
        </w:rPr>
        <w:t xml:space="preserve">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D15545">
        <w:rPr>
          <w:rFonts w:ascii="Times New Roman" w:hAnsi="Times New Roman"/>
          <w:sz w:val="24"/>
        </w:rPr>
        <w:t>24_______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15545">
        <w:rPr>
          <w:rFonts w:ascii="Times New Roman" w:hAnsi="Times New Roman"/>
          <w:sz w:val="24"/>
        </w:rPr>
        <w:t>Белозерова Е.А.</w:t>
      </w:r>
    </w:p>
    <w:p w:rsidR="00FD3EA2" w:rsidRPr="00793DA1" w:rsidRDefault="00D15545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</w:t>
      </w:r>
      <w:r w:rsidR="00FD3EA2">
        <w:rPr>
          <w:rFonts w:ascii="Times New Roman" w:hAnsi="Times New Roman"/>
        </w:rPr>
        <w:t xml:space="preserve">  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D50D7"/>
    <w:rsid w:val="00230D52"/>
    <w:rsid w:val="00325398"/>
    <w:rsid w:val="004D127C"/>
    <w:rsid w:val="0063415D"/>
    <w:rsid w:val="00743CDB"/>
    <w:rsid w:val="00793DA1"/>
    <w:rsid w:val="007C2766"/>
    <w:rsid w:val="00892B64"/>
    <w:rsid w:val="00953B72"/>
    <w:rsid w:val="009E0004"/>
    <w:rsid w:val="00AD4C4F"/>
    <w:rsid w:val="00B32FA5"/>
    <w:rsid w:val="00B56847"/>
    <w:rsid w:val="00D1554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2014-01-03T07:16:00Z</dcterms:created>
  <dcterms:modified xsi:type="dcterms:W3CDTF">2014-01-29T10:20:00Z</dcterms:modified>
</cp:coreProperties>
</file>