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43" w:rsidRPr="00127E43" w:rsidRDefault="00127E43" w:rsidP="00127E43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      </w:t>
      </w:r>
      <w:r w:rsidRPr="00127E43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Результаты педагогической деятельности</w:t>
      </w:r>
    </w:p>
    <w:p w:rsidR="00127E43" w:rsidRPr="00127E43" w:rsidRDefault="00127E43" w:rsidP="00127E43">
      <w:pPr>
        <w:tabs>
          <w:tab w:val="left" w:pos="758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Calibri" w:eastAsia="Calibri" w:hAnsi="Calibri" w:cs="Helvetica"/>
          <w:color w:val="333333"/>
          <w:sz w:val="21"/>
          <w:szCs w:val="21"/>
          <w:lang w:eastAsia="ru-RU"/>
        </w:rPr>
        <w:t xml:space="preserve">        </w:t>
      </w:r>
      <w:r w:rsidRPr="00127E4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До процесса оптимизации работала  на группах  по профессии «Слесарь», «Оператор прокатного производства».  В настоящее время р</w:t>
      </w:r>
      <w:r w:rsidRPr="00127E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аботаю мастером производственного обучения на группе  по профессии «Машинист локомотива». </w:t>
      </w:r>
    </w:p>
    <w:p w:rsidR="00127E43" w:rsidRPr="00127E43" w:rsidRDefault="00127E43" w:rsidP="00127E43">
      <w:pPr>
        <w:tabs>
          <w:tab w:val="left" w:pos="758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Открытое акционерное общество «Магнитогорский металлургический комбинат» - один  из самых крупных комбинатов  в мире. По  составу основных цехов он относится к металлургическим предприятиям с полным производственнным  циклом, то есть осуществляет производственную деятельность по трем основным металлургическим  переделам:  производство чугуна, производство  стали  и производство  проката. Эти переделы обслуживаются полным  составом основных и вспомогательных цехов, особое место среди которых отводится  транспорту.</w:t>
      </w:r>
    </w:p>
    <w:p w:rsidR="00127E43" w:rsidRPr="00127E43" w:rsidRDefault="00127E43" w:rsidP="00127E43">
      <w:pPr>
        <w:tabs>
          <w:tab w:val="left" w:pos="758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На сегодняшний день железнодорожный  транспорт ОАО « ММК»- наиболее развитый в отросли по техническому оснащению и одно  из крупнейших хозяйств  промышленного  железнодорожного транспорта России  и  основной вид  транспорта для осуществления как внутренних, так  внешних  перевозок. В его задачу входит своевременное обслуживание цехов  перевозками, доставка на комбинат сырья, материалов,топлива. </w:t>
      </w:r>
    </w:p>
    <w:p w:rsidR="00127E43" w:rsidRPr="00127E43" w:rsidRDefault="00127E43" w:rsidP="00127E43">
      <w:pPr>
        <w:tabs>
          <w:tab w:val="left" w:pos="758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Одним из основных условий безаварийной работы локомотивов и обеспечения выполнения графика движения поездов является:</w:t>
      </w:r>
    </w:p>
    <w:p w:rsidR="00127E43" w:rsidRPr="00127E43" w:rsidRDefault="00127E43" w:rsidP="00127E43">
      <w:pPr>
        <w:tabs>
          <w:tab w:val="left" w:pos="758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содержание локомотивов в технически исправном состоянии, с постоянным наблюдением за работой ответственных узлов и аппаратов, своевременным выявлением и устранением неисправностей.</w:t>
      </w:r>
      <w:r w:rsidRPr="00127E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27E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Технически исправное состояние локомотивов обеспечивается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  <w:r w:rsidRPr="00127E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выполнением установленной системы  технического обслуживания и текущего ремонта, качественным проведением в установленные сроки и систематическим контролем выполнения работ, бережным отношением локомотивных бригад к оборудованию локомотивов, соблюдением регламентированных режимов при управлении локомотивом.</w:t>
      </w:r>
    </w:p>
    <w:p w:rsidR="00127E43" w:rsidRPr="00127E43" w:rsidRDefault="00127E43" w:rsidP="00127E43">
      <w:pPr>
        <w:tabs>
          <w:tab w:val="left" w:pos="758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 xml:space="preserve">Цель  моей  педагогической деятельности </w:t>
      </w:r>
      <w:r w:rsidRPr="00127E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направлена на формирование у студентов основ профессионального мастерства, подготовку высококвалифицированного, конкурентноспособного, профессионально мобильного специалиста, социально-адаптированной личности, способного к эффективной производственной деятельности с первых дней самостоятельного труда, умеющего владеть собой в производственных ситуациях.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Студенты по профессии «Машинист  локомотива» проходят  производственную практику в соответствии с требованиями Федерального государственного образовательного стандарта  с учетом  требований  работодателя, по ПМ01  ООО «Ремпуть» в Цехе сервисного обслуживания  локомотивов; по ПМ02  - </w:t>
      </w: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УЖДТ</w:t>
      </w: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ОАО «ММК» в  локомотивном цехе, в Цехе эксплуатации, Эксплуатационном депо Карталы ОАО РЖД.</w:t>
      </w:r>
    </w:p>
    <w:p w:rsidR="00127E43" w:rsidRPr="00127E43" w:rsidRDefault="00127E43" w:rsidP="00127E43">
      <w:pPr>
        <w:tabs>
          <w:tab w:val="left" w:pos="758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Производственная практика студентов является неотъемлемой частью образовательного процесса и способствует профессиональному становлению личности, как современного конкурентоспособного специалиста. 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соответствии с положением  о практике (приказ Министерства образования  и науки РФ от18.04.2013 года № 291) для аттестации студента по итогам производственной практики  формируется пакет  документов, который студент предоставляет в образовательную организацию и он учитывается  при прохождении </w:t>
      </w:r>
      <w:r w:rsidR="0097457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 итоговой   атт</w:t>
      </w:r>
      <w:bookmarkStart w:id="0" w:name="_GoBack"/>
      <w:bookmarkEnd w:id="0"/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>естации: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>-  дневник производственной практики, в котором  он ведет ежедневный учет выполняемой работы; руководитель практики от предприятия (мастер  участка)  оценивает качество выполняемой работы и трудовую дисциплину;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>-  аттестационный лист по учебной и производственной практики (по  модулю);</w:t>
      </w:r>
      <w:proofErr w:type="gramEnd"/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отчет  по результатам  прохождения учебной  и  производственной  практики (по модулю); 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характеристика (отзыв) </w:t>
      </w:r>
      <w:proofErr w:type="gramStart"/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освоении</w:t>
      </w:r>
      <w:proofErr w:type="gramEnd"/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общих компетенций  в период прохождения практики. 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По завершению  производственной практики студенты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>- по ПМ01 выполняют выпускные квалификационные испытания  по квалификации: «Слесарь по ремонту  подвижного  состава» с  присвоением установленного  разряда  3(третьего) и  повышенного 4(четвертого) разряда.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ПМ02 выполняют выпускные квалификационные испытания  по квалификации: «Помощник  машиниста  тепловоза», « Помощник  машиниста электровоза»  без присвоения  разряда. 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 период 2013-2015 год отмечается  повышение уровня знаний студентов  по профессии.</w:t>
      </w:r>
    </w:p>
    <w:p w:rsidR="00127E43" w:rsidRPr="00127E43" w:rsidRDefault="00127E43" w:rsidP="00127E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127E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Накопление производственного опыта, формирование профессионального интереса, профессиональной компетентности и компетенций происходит во время учебной, производственной практики и внеклассной воспитательной  работы. 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Использование специально подобранных учебно-производственых заданий приводит к развитию творческих способностей, технологического мышления, самостоятельности, культуры труда и освоению современной технологии производства.Это позволило привить студентам повышенный интерес к овладению профессией. И как результат, стоит отметить: что </w:t>
      </w: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качественной успеваемости студентов  по профессии:190623.01 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 локомотива, </w:t>
      </w:r>
      <w:r w:rsidRPr="00127E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(диаграмма 1) из года в год</w:t>
      </w:r>
      <w:r w:rsidRPr="00127E43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</w:t>
      </w:r>
      <w:r w:rsidRPr="00127E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растёт.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 Результаты  абсолютной  и качественной успеваемости   по итогам производственной практики   по профессии: 190623.01  Машинист локомотива.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Студенты демонстрируют хорошие знания, умения и </w:t>
      </w:r>
      <w:proofErr w:type="gramStart"/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 учебной и производственной практики. Это видно по итогам защиты письменных экзаменационных </w:t>
      </w:r>
      <w:proofErr w:type="gramStart"/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которых работодатель рекомендует повышенный разряд. (Диаграмма 2) 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95925" cy="34671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7E43" w:rsidRPr="00127E43" w:rsidRDefault="00127E43" w:rsidP="00127E43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 2.   Результаты  присвоения квалификационных разрядов по профессии  студентов «Слесарь по ремонту  подвижного состава»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Замечена тенденция увеличения  оценок «отлично» на защите  письменных экзаменационных  работ. Этому  способствует повышение качества  знаний по профессиональному модулю</w:t>
      </w:r>
      <w:proofErr w:type="gramStart"/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3)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5925" cy="41052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E43">
        <w:rPr>
          <w:rFonts w:ascii="Times New Roman" w:eastAsia="Calibri" w:hAnsi="Times New Roman" w:cs="Times New Roman"/>
          <w:sz w:val="24"/>
          <w:szCs w:val="24"/>
          <w:lang w:eastAsia="ru-RU"/>
        </w:rPr>
        <w:t>Диаграмма 3. Результаты  государственной  итоговой аттестации  по профессии 190623.01 Машинист локомотива</w:t>
      </w:r>
    </w:p>
    <w:p w:rsidR="00127E43" w:rsidRPr="00127E43" w:rsidRDefault="00127E43" w:rsidP="00127E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Трудоустройство молодого специалиста и начало работы по специальности - важнейший этап его профессиональной жизни, а успешность трудоустройства - один из главных показателей качества образования.</w:t>
      </w:r>
    </w:p>
    <w:p w:rsidR="00127E43" w:rsidRPr="00127E43" w:rsidRDefault="00127E43" w:rsidP="00127E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 возрастает востребованность выпускников в цехах ОАО «ММК» и ОАО «ММК-Метиз» по професси</w:t>
      </w:r>
      <w:proofErr w:type="gramStart"/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«Машинист локомотива», ООО «Ремпуть» и сторонних организаций (СТОР)-«Слесарь по ремонту подвижного состава». Соответственно можно отследить высокий процент трудоустройства выпускников</w:t>
      </w:r>
      <w:r w:rsidRPr="00127E4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7E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</w:t>
      </w: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4), за исключением выпускников ушедших на службу в Российскую армию.</w:t>
      </w:r>
    </w:p>
    <w:p w:rsidR="00127E43" w:rsidRPr="00127E43" w:rsidRDefault="00127E43" w:rsidP="00127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925" cy="44196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7E43" w:rsidRPr="00127E43" w:rsidRDefault="00127E43" w:rsidP="00127E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4. Результаты трудоустройства студентов по профессии: 190623.01   Машинист локомотива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моей педагогической деятельности одной из самых важных компонентов является  сохранение контингента студентов. (Диаграмма5) </w:t>
      </w:r>
    </w:p>
    <w:p w:rsidR="00127E43" w:rsidRPr="00127E43" w:rsidRDefault="00127E43" w:rsidP="00127E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31623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E43" w:rsidRPr="00127E43" w:rsidRDefault="00127E43" w:rsidP="00127E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43">
        <w:rPr>
          <w:rFonts w:ascii="Times New Roman" w:eastAsia="Calibri" w:hAnsi="Times New Roman" w:cs="Times New Roman"/>
          <w:sz w:val="24"/>
          <w:szCs w:val="24"/>
          <w:lang w:eastAsia="ru-RU"/>
        </w:rPr>
        <w:t>Диаграмма 5. Результаты сохранности контингента   в группах</w:t>
      </w:r>
    </w:p>
    <w:p w:rsidR="00127E43" w:rsidRPr="00127E43" w:rsidRDefault="00127E43" w:rsidP="00127E43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Pr="0012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профессиональной подготовки выпускников соответствует требованиям Федерального государственного образовательного стандарта к содержанию и уровню по профессии и требованиям работодателя.</w:t>
      </w:r>
      <w:r w:rsidRPr="00127E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Тесное сотрудничество с социальными партерами  и базовыми предприятиями </w:t>
      </w:r>
    </w:p>
    <w:p w:rsidR="00127E43" w:rsidRPr="00127E43" w:rsidRDefault="00127E43" w:rsidP="00127E43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7E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 участие в обсуждении учебных планов , участие в проведении профориентационной работы с абитурентами, участие в заседаниях ГАК и,наконец трудоустройство)позволяет нам быть уверенными в будущих наших студентов.</w:t>
      </w: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E43" w:rsidRPr="00127E43" w:rsidRDefault="00127E43" w:rsidP="00127E43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23ED" w:rsidRDefault="000B23ED"/>
    <w:sectPr w:rsidR="000B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F"/>
    <w:rsid w:val="000B23ED"/>
    <w:rsid w:val="00127E43"/>
    <w:rsid w:val="00232F3F"/>
    <w:rsid w:val="00575987"/>
    <w:rsid w:val="009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успеваемости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0.71</c:v>
                </c:pt>
                <c:pt idx="1">
                  <c:v>0.8</c:v>
                </c:pt>
                <c:pt idx="2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914560"/>
        <c:axId val="126916096"/>
      </c:barChart>
      <c:catAx>
        <c:axId val="12691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6916096"/>
        <c:crosses val="autoZero"/>
        <c:auto val="1"/>
        <c:lblAlgn val="ctr"/>
        <c:lblOffset val="100"/>
        <c:noMultiLvlLbl val="0"/>
      </c:catAx>
      <c:valAx>
        <c:axId val="1269160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6914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99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599" b="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квалификационных разрядов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30051964858559349"/>
          <c:y val="0.16697444069491313"/>
          <c:w val="0.66475812919218435"/>
          <c:h val="0.56668385201849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пониженный 2 разряд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установленный 3разряд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0.5</c:v>
                </c:pt>
                <c:pt idx="2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повышенный 4 разряд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0.44</c:v>
                </c:pt>
                <c:pt idx="1">
                  <c:v>0.5</c:v>
                </c:pt>
                <c:pt idx="2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08480"/>
        <c:axId val="125910016"/>
      </c:barChart>
      <c:catAx>
        <c:axId val="12590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5910016"/>
        <c:crosses val="autoZero"/>
        <c:auto val="1"/>
        <c:lblAlgn val="ctr"/>
        <c:lblOffset val="100"/>
        <c:noMultiLvlLbl val="0"/>
      </c:catAx>
      <c:valAx>
        <c:axId val="1259100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5908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ГИА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20.8</c:v>
                </c:pt>
                <c:pt idx="2">
                  <c:v>12.6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58.3</c:v>
                </c:pt>
                <c:pt idx="1">
                  <c:v>45.9</c:v>
                </c:pt>
                <c:pt idx="2">
                  <c:v>45.8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33.6</c:v>
                </c:pt>
                <c:pt idx="1">
                  <c:v>33.299999999999997</c:v>
                </c:pt>
                <c:pt idx="2">
                  <c:v>41.6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105280"/>
        <c:axId val="127107072"/>
        <c:axId val="129973312"/>
      </c:bar3DChart>
      <c:catAx>
        <c:axId val="12710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7107072"/>
        <c:crosses val="autoZero"/>
        <c:auto val="1"/>
        <c:lblAlgn val="ctr"/>
        <c:lblOffset val="100"/>
        <c:noMultiLvlLbl val="0"/>
      </c:catAx>
      <c:valAx>
        <c:axId val="12710707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7105280"/>
        <c:crosses val="autoZero"/>
        <c:crossBetween val="between"/>
      </c:valAx>
      <c:serAx>
        <c:axId val="12997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8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107072"/>
        <c:crosses val="autoZero"/>
        <c:tickLblSkip val="1"/>
        <c:tickMarkSkip val="1"/>
      </c:serAx>
      <c:dTable>
        <c:showHorzBorder val="1"/>
        <c:showVertBorder val="1"/>
        <c:showOutline val="1"/>
        <c:showKeys val="1"/>
      </c:dTable>
      <c:spPr>
        <a:noFill/>
        <a:ln w="2544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трудоустройство  студентов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94E-2"/>
          <c:y val="7.692495296495018E-2"/>
          <c:w val="0.71915901137357829"/>
          <c:h val="0.5479827189742875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ОАО"ММК"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0.3</c:v>
                </c:pt>
                <c:pt idx="2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ООО"Ремпуть"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0.12</c:v>
                </c:pt>
                <c:pt idx="2" formatCode="0%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ОАО"ММК-Метиз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0.13</c:v>
                </c:pt>
                <c:pt idx="2" formatCode="0%">
                  <c:v>0.08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Стор.орг.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</c:v>
                </c:pt>
                <c:pt idx="1">
                  <c:v>0.15</c:v>
                </c:pt>
                <c:pt idx="2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Р.А.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0.2</c:v>
                </c:pt>
                <c:pt idx="1">
                  <c:v>0.3</c:v>
                </c:pt>
                <c:pt idx="2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489216"/>
        <c:axId val="136507392"/>
        <c:axId val="136496000"/>
      </c:bar3DChart>
      <c:catAx>
        <c:axId val="13648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507392"/>
        <c:crosses val="autoZero"/>
        <c:auto val="1"/>
        <c:lblAlgn val="ctr"/>
        <c:lblOffset val="100"/>
        <c:noMultiLvlLbl val="0"/>
      </c:catAx>
      <c:valAx>
        <c:axId val="1365073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6489216"/>
        <c:crosses val="autoZero"/>
        <c:crossBetween val="between"/>
      </c:valAx>
      <c:serAx>
        <c:axId val="13649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507392"/>
        <c:crosses val="autoZero"/>
        <c:tickLblSkip val="2"/>
        <c:tickMarkSkip val="1"/>
      </c:serAx>
      <c:dTable>
        <c:showHorzBorder val="1"/>
        <c:showVertBorder val="1"/>
        <c:showOutline val="1"/>
        <c:showKeys val="1"/>
      </c:dTable>
      <c:spPr>
        <a:noFill/>
        <a:ln w="25385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2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2" b="0">
                <a:latin typeface="Times New Roman" panose="02020603050405020304" pitchFamily="18" charset="0"/>
                <a:cs typeface="Times New Roman" panose="02020603050405020304" pitchFamily="18" charset="0"/>
              </a:rPr>
              <a:t>сохранность контингента</a:t>
            </a:r>
          </a:p>
        </c:rich>
      </c:tx>
      <c:layout>
        <c:manualLayout>
          <c:xMode val="edge"/>
          <c:yMode val="edge"/>
          <c:x val="0.29010208151748385"/>
          <c:y val="0.11498523622047244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4E-2"/>
          <c:y val="0.14242514709358012"/>
          <c:w val="0.60932195975503067"/>
          <c:h val="0.7879013819954969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067072"/>
        <c:axId val="130257280"/>
        <c:axId val="136496896"/>
      </c:bar3DChart>
      <c:catAx>
        <c:axId val="13006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257280"/>
        <c:crosses val="autoZero"/>
        <c:auto val="1"/>
        <c:lblAlgn val="ctr"/>
        <c:lblOffset val="100"/>
        <c:noMultiLvlLbl val="0"/>
      </c:catAx>
      <c:valAx>
        <c:axId val="130257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067072"/>
        <c:crosses val="autoZero"/>
        <c:crossBetween val="between"/>
      </c:valAx>
      <c:serAx>
        <c:axId val="13649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257280"/>
        <c:crosses val="autoZero"/>
        <c:tickLblSkip val="1"/>
        <c:tickMarkSkip val="1"/>
      </c:serAx>
      <c:spPr>
        <a:noFill/>
        <a:ln w="25435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Т. Ю.</dc:creator>
  <cp:keywords/>
  <dc:description/>
  <cp:lastModifiedBy>Фомина Т. Ю.</cp:lastModifiedBy>
  <cp:revision>3</cp:revision>
  <dcterms:created xsi:type="dcterms:W3CDTF">2016-11-23T09:20:00Z</dcterms:created>
  <dcterms:modified xsi:type="dcterms:W3CDTF">2016-11-23T09:42:00Z</dcterms:modified>
</cp:coreProperties>
</file>