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52" w:rsidRPr="005D4D52" w:rsidRDefault="005D4D52" w:rsidP="005D4D5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908C88"/>
          <w:sz w:val="16"/>
          <w:szCs w:val="16"/>
          <w:lang w:eastAsia="ru-RU"/>
        </w:rPr>
      </w:pP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t>Министерство образования и науки Российской Федерации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Институт ЮНЕСКО по информационным технологиям в образовании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Институт проблем информатики Российской Академии наук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Федеральный институт развития образования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Академия повышения квалификации и профессиональной переподготовки работников образования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Автономная некоммерческая организация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«Информационные технологии в образовании» </w:t>
      </w: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br/>
        <w:t>Российский государственный гуманитарный университет</w:t>
      </w:r>
    </w:p>
    <w:p w:rsidR="005D4D52" w:rsidRPr="005D4D52" w:rsidRDefault="005D4D52" w:rsidP="005D4D5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908C88"/>
          <w:sz w:val="16"/>
          <w:szCs w:val="16"/>
          <w:lang w:eastAsia="ru-RU"/>
        </w:rPr>
      </w:pPr>
      <w:r w:rsidRPr="005D4D52">
        <w:rPr>
          <w:rFonts w:ascii="Arial" w:eastAsia="Times New Roman" w:hAnsi="Arial" w:cs="Arial"/>
          <w:color w:val="908C88"/>
          <w:sz w:val="16"/>
          <w:szCs w:val="16"/>
          <w:lang w:eastAsia="ru-RU"/>
        </w:rPr>
        <w:t>Международный институт новых образовательных технологий</w:t>
      </w:r>
    </w:p>
    <w:p w:rsidR="005D4D52" w:rsidRPr="005D4D52" w:rsidRDefault="005D4D52" w:rsidP="005D4D5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D4D5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III Международная научно-практическая конференция </w:t>
      </w:r>
      <w:r w:rsidRPr="005D4D52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«Инновации в информационных технологиях и образовании» </w:t>
      </w:r>
    </w:p>
    <w:p w:rsidR="005D4D52" w:rsidRPr="005D4D52" w:rsidRDefault="005D4D52" w:rsidP="005D4D52">
      <w:pPr>
        <w:shd w:val="clear" w:color="auto" w:fill="FFFFFF"/>
        <w:spacing w:after="0" w:line="630" w:lineRule="atLeast"/>
        <w:jc w:val="center"/>
        <w:rPr>
          <w:rFonts w:ascii="Arial" w:eastAsia="Times New Roman" w:hAnsi="Arial" w:cs="Arial"/>
          <w:b/>
          <w:bCs/>
          <w:color w:val="0F4663"/>
          <w:sz w:val="64"/>
          <w:szCs w:val="64"/>
          <w:lang w:eastAsia="ru-RU"/>
        </w:rPr>
      </w:pPr>
      <w:r w:rsidRPr="005D4D52">
        <w:rPr>
          <w:rFonts w:ascii="Arial" w:eastAsia="Times New Roman" w:hAnsi="Arial" w:cs="Arial"/>
          <w:b/>
          <w:bCs/>
          <w:color w:val="0F4663"/>
          <w:sz w:val="64"/>
          <w:szCs w:val="64"/>
          <w:lang w:eastAsia="ru-RU"/>
        </w:rPr>
        <w:t>«ИТО-Москва-2014» </w:t>
      </w:r>
      <w:r w:rsidRPr="005D4D52">
        <w:rPr>
          <w:rFonts w:ascii="Arial" w:eastAsia="Times New Roman" w:hAnsi="Arial" w:cs="Arial"/>
          <w:b/>
          <w:bCs/>
          <w:color w:val="0F4663"/>
          <w:sz w:val="64"/>
          <w:szCs w:val="64"/>
          <w:lang w:eastAsia="ru-RU"/>
        </w:rPr>
        <w:br/>
      </w:r>
      <w:r w:rsidRPr="005D4D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4 - 5 декабря 2014 года, г. Москва</w:t>
      </w:r>
    </w:p>
    <w:p w:rsidR="005D4D52" w:rsidRPr="005D4D52" w:rsidRDefault="005D4D52" w:rsidP="005D4D52">
      <w:pPr>
        <w:shd w:val="clear" w:color="auto" w:fill="FFFFFF"/>
        <w:spacing w:after="240" w:line="288" w:lineRule="atLeast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D4D52" w:rsidRPr="005D4D52" w:rsidTr="005D4D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4D52" w:rsidRPr="005D4D52" w:rsidRDefault="002C1760" w:rsidP="005D4D52">
            <w:pPr>
              <w:spacing w:after="150" w:line="240" w:lineRule="auto"/>
              <w:divId w:val="1855609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5D4D52" w:rsidRPr="005D4D52">
                <w:rPr>
                  <w:rFonts w:ascii="Times New Roman" w:eastAsia="Times New Roman" w:hAnsi="Times New Roman" w:cs="Times New Roman"/>
                  <w:color w:val="005699"/>
                  <w:sz w:val="20"/>
                  <w:szCs w:val="20"/>
                  <w:u w:val="single"/>
                  <w:lang w:eastAsia="ru-RU"/>
                </w:rPr>
                <w:t>Секция "Настоящее и будущее инновационных форм обучения и формирования открытой образовательной среды"</w:t>
              </w:r>
            </w:hyperlink>
          </w:p>
          <w:p w:rsidR="005D4D52" w:rsidRPr="005D4D52" w:rsidRDefault="00567254" w:rsidP="005D4D52">
            <w:pPr>
              <w:spacing w:before="300" w:after="300" w:line="420" w:lineRule="atLeast"/>
              <w:outlineLvl w:val="0"/>
              <w:rPr>
                <w:rFonts w:ascii="Arial" w:eastAsia="Times New Roman" w:hAnsi="Arial" w:cs="Arial"/>
                <w:color w:val="1A475E"/>
                <w:kern w:val="36"/>
                <w:sz w:val="42"/>
                <w:szCs w:val="42"/>
                <w:lang w:eastAsia="ru-RU"/>
              </w:rPr>
            </w:pPr>
            <w:r>
              <w:rPr>
                <w:rFonts w:ascii="Arial" w:eastAsia="Times New Roman" w:hAnsi="Arial" w:cs="Arial"/>
                <w:color w:val="1A475E"/>
                <w:kern w:val="36"/>
                <w:sz w:val="42"/>
                <w:szCs w:val="42"/>
                <w:lang w:eastAsia="ru-RU"/>
              </w:rPr>
              <w:t>ФОРМЫ ОРГ</w:t>
            </w:r>
            <w:r w:rsidR="005D4D52" w:rsidRPr="005D4D52">
              <w:rPr>
                <w:rFonts w:ascii="Arial" w:eastAsia="Times New Roman" w:hAnsi="Arial" w:cs="Arial"/>
                <w:color w:val="1A475E"/>
                <w:kern w:val="36"/>
                <w:sz w:val="42"/>
                <w:szCs w:val="42"/>
                <w:lang w:eastAsia="ru-RU"/>
              </w:rPr>
              <w:t>АНИЗАЦИИ ПРОЕКТНОЙ ДЕЯТЕЛЬНОСТИ УЧАЩИХСЯ В ОБУЧЕНИИ ИНФОРМАТИКЕ КАК ФАКТОР ПОВЫШЕНИЯ МОТИВАЦИИ УЧАЩИХСЯ И ФОРМИРОВАНИЯ ЕДИНОЙ ОБРАЗОВАТЕЛЬНОЙ СРЕДЫ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475E"/>
                <w:sz w:val="42"/>
                <w:szCs w:val="42"/>
                <w:lang w:eastAsia="ru-RU"/>
              </w:rPr>
            </w:pPr>
          </w:p>
        </w:tc>
      </w:tr>
    </w:tbl>
    <w:p w:rsidR="005D4D52" w:rsidRPr="005D4D52" w:rsidRDefault="005D4D52" w:rsidP="005D4D5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</w:p>
    <w:p w:rsidR="005D4D52" w:rsidRPr="005D4D52" w:rsidRDefault="005D4D52" w:rsidP="005D4D52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Автор: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 </w:t>
      </w:r>
      <w:hyperlink r:id="rId6" w:history="1">
        <w:r w:rsidRPr="005D4D52">
          <w:rPr>
            <w:rFonts w:ascii="Verdana" w:eastAsia="Times New Roman" w:hAnsi="Verdana" w:cs="Times New Roman"/>
            <w:color w:val="005699"/>
            <w:sz w:val="20"/>
            <w:szCs w:val="20"/>
            <w:u w:val="single"/>
            <w:lang w:eastAsia="ru-RU"/>
          </w:rPr>
          <w:t>Коваленко Елена Германовна</w:t>
        </w:r>
      </w:hyperlink>
    </w:p>
    <w:p w:rsidR="005D4D52" w:rsidRPr="005D4D52" w:rsidRDefault="005D4D52" w:rsidP="005D4D52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>Муниципальное бюджетное общеобразовательное учреждение средняя общеобразовательная школа №17 г. Белая Калитва</w:t>
      </w:r>
    </w:p>
    <w:p w:rsidR="005D4D52" w:rsidRPr="005D4D52" w:rsidRDefault="005D4D52" w:rsidP="005D4D52">
      <w:pPr>
        <w:shd w:val="clear" w:color="auto" w:fill="FFFFFF"/>
        <w:spacing w:line="288" w:lineRule="atLeast"/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>В тезисах приводится обобщение опыта работы учителя информатики и ИКТ по формам организации и реализации проектной деятельности</w:t>
      </w:r>
      <w:r w:rsidR="009421FD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 xml:space="preserve"> </w:t>
      </w:r>
      <w:r w:rsidRPr="005D4D52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 xml:space="preserve">учащихся как технологии, развивающей метапредметность и межпредметность информатики в школе. Цель работы - оказание методической помощи учителям информатики, испытывающим сомнения в уровне собственной </w:t>
      </w:r>
      <w:proofErr w:type="spellStart"/>
      <w:proofErr w:type="gramStart"/>
      <w:r w:rsidRPr="005D4D52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>ИКТ-компетентности</w:t>
      </w:r>
      <w:proofErr w:type="spellEnd"/>
      <w:proofErr w:type="gramEnd"/>
      <w:r w:rsidR="00DC5287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>,</w:t>
      </w:r>
      <w:r w:rsidRPr="005D4D52">
        <w:rPr>
          <w:rFonts w:ascii="Verdana" w:eastAsia="Times New Roman" w:hAnsi="Verdana" w:cs="Times New Roman"/>
          <w:color w:val="4C4C4C"/>
          <w:sz w:val="16"/>
          <w:szCs w:val="16"/>
          <w:lang w:eastAsia="ru-RU"/>
        </w:rPr>
        <w:t xml:space="preserve"> в том числе в рамках введения и реализации ФГОС.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Специфика предмета информатика и ИКТ определяет требования к деятельности учителя и учащегося. Педагогу необходимо, по моему мнению, рассмотреть свои методы обучения через призму «портрета выпускника школы» [1], что позволит ему успешно реализовать требования ФГОС, реализоваться самому как педагогу, способствовать созданию единой информационной среды ОУ.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Традиционно, обучение ИИКТ основывается на теоретическом и практическом освоении материала учащимися. Практическая работа с использованием средств ИКТ выполняет роль контроля знаний, умений и навыков учащихся (текущего, тематического или итогового). Для качественного выполнения задания у учащегося 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lastRenderedPageBreak/>
        <w:t>должны быть сформированы мотивация, а также представление результата своей работы. Если какой-то из этих факторов выступает слабым звеном, то, даже при высоком знании теоретических основ, практическая реализация не будет качественной. И здесь педагогу необходимо проанализировать собственный опыт применения различных педтехнологий. Особое место среди информационных педагогических технологий занимают такие личностно-ориентированные технологии обучения как </w:t>
      </w: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метод проектов,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 </w:t>
      </w: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обучение в сотрудничестве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 </w:t>
      </w: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обучение на основе Web-Quest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.[3] Эти педтехнологии обеспечивают формирование универсальных учебных действий у учащихся: личностных, регулятивных, коммуникативных, познавательных. Организованная педагогом деятельность с применением указанных педтехнологий позволяет реализовывать учащимся собственную ИКТ-компетентность через деятельность в близкой ему среде.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По опыту своей работы считаю, что педагогу следует пересмотреть соотношени</w:t>
      </w:r>
      <w:r w:rsidR="009421FD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е содержания практических работ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учащихся (заданий типа «выполни по образцу» и творческих). Практическая работа должна носить </w:t>
      </w: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прикладной характер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 где роль компьютера – универсальный </w:t>
      </w: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инструмент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 для работы с информацией. То есть, учащийся сам может предложить содержание практической работы, связанное с окружающим его миром, и роль учителя здесь сводится к управлению учебным процессом. Практически каждый тематический раздел позволяет при креативном подходе, прежде всего учителя, организовать и реализовать исследовательскую или проектную деятельность.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Информационные и программные продукты этой деятельности должны иметь «жизнь вне урока и кабинета информатики»: в учебной деятельности – применение на уроках, в воспитательной работе – это оформление классных уголков, сопровождение классных бесед и часов общения и т.п. Сегодня возможности технического и программного обеспечения школ позволяют создать необходимые условия для перевода информационного продукта деятельности ученика на твёрдый носитель: бумагу, диски.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Создание ситуации успеха способствует повышению мотивации ученика. Например, в работе с мультимедийными информационными технологиями, которая предполагает демонстрацию своей работы учеником или группой учащихся, просторы творчества неограниченны. Конечно же, в оценке работы учитель должен предварительно ознакомить учащихся с требованиями и шкалой оценки информационного продукта. Но это, в тоже время, ограничивает творчество, креативное мышление учащихся, является сдерживающим фактором. В этом случае можно объявить этот этап работы в форме конкурса, где жюри - весь классный коллектив. По итогам голосования возможно присуждение «приза зрительских симпатий». Признание коллектива является на всех возрастных ступенях (особенно в средней и старшей школе) очень важным фактором, не меньшим, чем оценка учителя. Данная форма взаимодействия способствует развитию личности ученика.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В сотрудничестве с другими педагогами </w:t>
      </w:r>
      <w:r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школы реализуются требования к 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личностным, метапредметным и предметным результатам освоения основной образовательной программы. Это может быть форма работы, когда другие учителя-предметники, классные руководители, администрация школы имеют возможность обратиться к учителю ИИКТ с заявкой на информационный продукт, а учитель рассматривает возможность ее реализ</w:t>
      </w:r>
      <w:r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ации и сроки (в соответствии с 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рабочей программой). Эта форма одна из наиболее популярных у учащихся, поскольку они видят значимость своей работы. Здесь они могут реализовать себя как успешная личность.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Проектная технология позволяет учителю информатики и ИКТ организовать учебную деятельность таким образом, чтобы уже в начале учебного года создать условия повышения мотивации у учащихся не только по собственному предмету, но и 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lastRenderedPageBreak/>
        <w:t>по другим дисциплинам. Хотелось бы рассказать подробнее об опыте своей работы в данном направлении.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В нашем ОУ уже более десяти лет проектная технология находит свою реализацию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в том числе и в промежуточной аттестации учащихся по предмету информатика и ИКТ.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Начинается эта работа ещё до начала учебного года с согласования и утверждения данной формы с администрацией ОУ. На первом уроке учебного года я знакомлю учащихся с содержанием курса текущего учебного года и сообщаю о возможности выбора сдачи экзамена в форме проекта для учащихся, которые в течение этого периода будут иметь четвертные (для десятого класса полугодовые) оценки «пять», и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в перспективе, окончат учебный год на отлично. Кроме того, в течение этого учебного года учащийся должен проявить себя как творческая личность в выполнении зачётных работ (которые имеют форму минипроектов). Таким образом, уже на первом этапе учащийся получает возможность реализоваться как успешная личность, а значит повышается его мотивация. Причём учащиеся в течение всего учебного года стараются организовывать свою учебную деятельность так, чтобы сохранить эту возможность выбора формы аттестации.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Следующий этап — это организация консультаций с учащимися, выбравшими эту форму промежуточной аттестации. На первой встрече, традиционно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мы просматриваем работы предыдущих лет. Я комментирую сильные и слабые стороны каждой работы. Учащиеся получают задание определиться со сферой своей будущей работы. Ограничение лишь одно: это должно быть 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интересно не только самому учаще</w:t>
      </w:r>
      <w:r w:rsidR="00CD72FA"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муся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 но другим участникам образовательного процесса, поскольку информационные продукты деятельности учащихся в дальнейшем пополняют библиотеку мультимедийных ресурсов ОУ, используются на классных часах и уроках другими педагогами.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На следующем этапе проходят индивидуальные консультации, где определяется направление, в котором будет развиваться проект, основополагающий вопрос. Если проект выходит за рамки информат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ики, я договариваюсь с педагога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ми других дисциплин о возможности консультации с их стороны. За всё время подобной деятельности, я ни разу не получила отказа со стороны педагогов. Во-первых, в проекте педагог-консультант выступает в этом случае также руководителем; во-вторых, он получает программный продукт по своему предмету; в-третьих, грамотный педагог понимает, что это повышение мотивации и по его предмету. Здесь проявляется и межпредметность, и  метапредметность деятельности. На этом же этапе выбираются программные средства для оформления результатов и ставятся требования к информационному продукту. Возможно объединение учащихся в минигруппы (не более 2-х человек).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На следующем этапе учащийся (группа) проводит самостоятельное исследование предметной области, оформляет результаты (традиционно учащиеся выбирают мультимедийные программные редакторы, но находит своё место и реализация в электронных таблицах, системах управления базами данных). Это самый долгосрочный период. На этом этапе проходят индивидуальные консультации, где педагог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,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изучая промежуточные результаты деятельности учащихся, вносит коррективы в направление их работы. На этот этап я отвожу 2-3 месяца, </w:t>
      </w:r>
      <w:r w:rsidR="00CD72FA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промежуточные результаты работы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 учащиеся сдают каждые две недели.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 xml:space="preserve">Финальный этап заключается в сдаче и защите своего проекта. Каждый учащийся (или группа) имеет возможность выступить с представлением своего проекта перед членами приёмной комиссии, которые выполняют роль жюри. Приглашаются все желающие педагоги. Учащиеся защищают свою работу, отвечая на вопросы как членов приёмной комиссии, так и других учащихся. Далее проходит обсуждение оценок, учитель информатики (здесь он руководитель проектов) зачитывает свою рецензию на каждый проект. Комиссия может внести свои коррективы, согласовывается окончательная оценка и объявляется учащимся. Объявление оценок, как результата </w:t>
      </w: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lastRenderedPageBreak/>
        <w:t>деятельности учащихся, важный момент, способствующий повышению мотивации учащихся в дальнейшем, особенно если это первый подобный опыт деятельности учащихся. О каждой работе важно высказать мнение приёмной комиссии, замечания или пожелания. Все члены приёмной комиссии и желающие педагоги получают от меня диски, на которых хранятся работы учащихся.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Такая форма реализации проектной технологии на промежуточной аттестации учащихся позволяет достичь следующих результатов: воспитание у учащихся приёмов работы на перспективу; повышение мотивации в изучение предмета информатики и ИКТ и её стимулирование на протяжении всего учебного года; реализация метапредметности и межпредметности в преподавании информатики и ИКТ; развитие межличностных отношений в моделях: учитель-ученик, ученик-ученик, учитель-учитель.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Да, данный подход к преподаванию требует и от педагога, и от школы своего рода инвестиций. Учитель информатики должен обладать креативным мышлением, творческим потенциалом, межпредметными знаниями. Но как же учитель может что-либо развить у учащихся или обучить их, если сам не стремиться развиваться и самообразовываться? Школа же должна создать условия для реализации личности не только своих учащихся, но и учителей (техническое и программное оснащение, доступность кабинета и средств ИКТ для всех участников образовательного процесса). Но при грамотном оценивании роли учителя информатики в школе, как администрацией, так и самим учителем, это на сегодняшнее время не является проблемой. </w:t>
      </w:r>
    </w:p>
    <w:p w:rsidR="005D4D52" w:rsidRPr="005D4D52" w:rsidRDefault="005D4D52" w:rsidP="005D4D52">
      <w:pPr>
        <w:shd w:val="clear" w:color="auto" w:fill="FFFFFF"/>
        <w:spacing w:line="288" w:lineRule="atLeast"/>
        <w:ind w:firstLine="450"/>
        <w:jc w:val="both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Таким образом, при активном и грамотном подходе к организации образовательного процесса со стороны педагога, администрации школы, происходит создание и развитие той единой образовательной среды, в которой каждый участник образовательного процесса чувствует свою значимость, а информационные технологии носят прикладной характер.</w:t>
      </w:r>
    </w:p>
    <w:p w:rsidR="005D4D52" w:rsidRPr="005D4D52" w:rsidRDefault="005D4D52" w:rsidP="005D4D52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b/>
          <w:bCs/>
          <w:color w:val="4C4C4C"/>
          <w:sz w:val="20"/>
          <w:szCs w:val="20"/>
          <w:lang w:eastAsia="ru-RU"/>
        </w:rPr>
        <w:t>Список использованных источников</w:t>
      </w:r>
    </w:p>
    <w:p w:rsidR="005D4D52" w:rsidRPr="005D4D52" w:rsidRDefault="005D4D52" w:rsidP="005D4D5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ФЕДЕРАЛЬНЫЙ ГОСУДАРСТВЕННЫЙ ОБРАЗОВАТЕЛЬНЫЙ СТАНДАРТ СРЕДНЕГО ОБЩЕГО ОБРАЗОВАНИЯ утверждён приказом Министерства образования и науки Российской Федерации от 17 мая 2012 г. № 413</w:t>
      </w:r>
    </w:p>
    <w:p w:rsidR="005D4D52" w:rsidRPr="005D4D52" w:rsidRDefault="005D4D52" w:rsidP="005D4D5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Примерная основная образовательная программа образовательного учреждения. Основная школа / [сост. Е. С. Савинов]. — М.: Просвещение, 2011. — 342 с. — (Стандарты второго поколения)</w:t>
      </w:r>
    </w:p>
    <w:p w:rsidR="005D4D52" w:rsidRPr="005D4D52" w:rsidRDefault="005D4D52" w:rsidP="005D4D5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Головко Т.Г. Информационные технологии в образовании / Учебное пособие. – Ростов н/Д.: Изд-во РО ИПК и ПРО, 2010. – 120 с.</w:t>
      </w:r>
    </w:p>
    <w:p w:rsidR="005D4D52" w:rsidRPr="005D4D52" w:rsidRDefault="005D4D52" w:rsidP="005D4D52">
      <w:pPr>
        <w:numPr>
          <w:ilvl w:val="0"/>
          <w:numId w:val="2"/>
        </w:numPr>
        <w:shd w:val="clear" w:color="auto" w:fill="FFFFFF"/>
        <w:spacing w:line="288" w:lineRule="atLeast"/>
        <w:ind w:left="0"/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</w:pPr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Герус Е.А., Толочко Г.П., Архипова А.И.</w:t>
      </w:r>
      <w:bookmarkStart w:id="0" w:name="_GoBack"/>
      <w:bookmarkEnd w:id="0"/>
      <w:r w:rsidRPr="005D4D52">
        <w:rPr>
          <w:rFonts w:ascii="Verdana" w:eastAsia="Times New Roman" w:hAnsi="Verdana" w:cs="Times New Roman"/>
          <w:color w:val="4C4C4C"/>
          <w:sz w:val="20"/>
          <w:szCs w:val="20"/>
          <w:lang w:eastAsia="ru-RU"/>
        </w:rPr>
        <w:t>. Использование игровой деятельности в процессе изучения информатики в основной школе // Школьные годы. – 2014. - №54</w:t>
      </w:r>
    </w:p>
    <w:tbl>
      <w:tblPr>
        <w:tblW w:w="1080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2441"/>
        <w:gridCol w:w="8359"/>
      </w:tblGrid>
      <w:tr w:rsidR="005D4D52" w:rsidRPr="005D4D52" w:rsidTr="005D4D52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представления доклада 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</w:tr>
      <w:tr w:rsidR="005D4D52" w:rsidRPr="005D4D52" w:rsidTr="005D4D52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 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2C1760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5D4D52" w:rsidRPr="005D4D52">
                <w:rPr>
                  <w:rFonts w:ascii="Times New Roman" w:eastAsia="Times New Roman" w:hAnsi="Times New Roman" w:cs="Times New Roman"/>
                  <w:color w:val="005699"/>
                  <w:sz w:val="20"/>
                  <w:szCs w:val="20"/>
                  <w:u w:val="single"/>
                  <w:lang w:eastAsia="ru-RU"/>
                </w:rPr>
                <w:t>Среднее (полное) общее образование</w:t>
              </w:r>
            </w:hyperlink>
          </w:p>
        </w:tc>
      </w:tr>
      <w:tr w:rsidR="005D4D52" w:rsidRPr="005D4D52" w:rsidTr="005D4D52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Ключевые слова 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2F3F7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5D4D52" w:rsidRPr="005D4D52" w:rsidRDefault="005D4D52" w:rsidP="005D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информатика, единая информационная среда, проект, проектная деятельность, метапредметность, межпредметность, ФГОС</w:t>
            </w:r>
          </w:p>
        </w:tc>
      </w:tr>
    </w:tbl>
    <w:p w:rsidR="00C747E3" w:rsidRDefault="00C747E3"/>
    <w:sectPr w:rsidR="00C747E3" w:rsidSect="00CD7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047"/>
    <w:multiLevelType w:val="multilevel"/>
    <w:tmpl w:val="9F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45DC2"/>
    <w:multiLevelType w:val="multilevel"/>
    <w:tmpl w:val="7186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C4"/>
    <w:rsid w:val="00075062"/>
    <w:rsid w:val="002C1760"/>
    <w:rsid w:val="00567254"/>
    <w:rsid w:val="00584CC4"/>
    <w:rsid w:val="005D4D52"/>
    <w:rsid w:val="009421FD"/>
    <w:rsid w:val="00C747E3"/>
    <w:rsid w:val="00C77B61"/>
    <w:rsid w:val="00CD72FA"/>
    <w:rsid w:val="00DC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187">
          <w:marLeft w:val="382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54502637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97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DE282"/>
                        <w:left w:val="single" w:sz="18" w:space="7" w:color="BDE282"/>
                        <w:bottom w:val="single" w:sz="18" w:space="8" w:color="BDE282"/>
                        <w:right w:val="single" w:sz="18" w:space="7" w:color="BDE282"/>
                      </w:divBdr>
                      <w:divsChild>
                        <w:div w:id="7949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384">
                  <w:marLeft w:val="384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0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25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2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k.ito.edu.ru/2014/thesis/detail.php?ID=90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k.ito.edu.ru/2014/list_avtor/251/" TargetMode="External"/><Relationship Id="rId5" Type="http://schemas.openxmlformats.org/officeDocument/2006/relationships/hyperlink" Target="http://msk.ito.edu.ru/2014/section/2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6</cp:revision>
  <dcterms:created xsi:type="dcterms:W3CDTF">2014-11-22T17:55:00Z</dcterms:created>
  <dcterms:modified xsi:type="dcterms:W3CDTF">2015-02-28T00:53:00Z</dcterms:modified>
</cp:coreProperties>
</file>