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6A" w:rsidRPr="00E57A21" w:rsidRDefault="00B1056A" w:rsidP="00B1056A">
      <w:r w:rsidRPr="00E57A21">
        <w:t>Самой распространенной формой повышения квалификации учителей является деятельность методического объединения учителей.</w:t>
      </w:r>
    </w:p>
    <w:p w:rsidR="00B1056A" w:rsidRPr="00E57A21" w:rsidRDefault="00B1056A" w:rsidP="00B1056A">
      <w:r w:rsidRPr="00E57A21">
        <w:t xml:space="preserve">Постоянное методическое взаимодействие учителей-предметников способствует обучению кадров, ориентирует педагогов на достижение высоких результатов в учебно-воспитательной и инновационной деятельности, помогает выработке единых ценностных ориентиров, способствует профессиональному самосохранению учителя, помогает ему в дальнейшем преодолеть возможное отставание и не допустить расхождения между требуемым и достигнутым уровнями учебно-воспитательного процесса. </w:t>
      </w:r>
    </w:p>
    <w:p w:rsidR="00B1056A" w:rsidRPr="00E57A21" w:rsidRDefault="00B1056A" w:rsidP="00B1056A">
      <w:pPr>
        <w:rPr>
          <w:b/>
        </w:rPr>
      </w:pPr>
      <w:r w:rsidRPr="00E57A21">
        <w:rPr>
          <w:b/>
        </w:rPr>
        <w:t>Анализ кадрового состава ОМО учителей иностранных языков через призму профстандарта.</w:t>
      </w:r>
    </w:p>
    <w:p w:rsidR="00B1056A" w:rsidRDefault="00B1056A" w:rsidP="00B1056A">
      <w:r>
        <w:t>В настоящее время ОМО учителей иностранных языков состоит из 21 учителя английского языка.</w:t>
      </w:r>
    </w:p>
    <w:p w:rsidR="00B1056A" w:rsidRPr="005810CF" w:rsidRDefault="00B1056A" w:rsidP="00B1056A">
      <w:pPr>
        <w:rPr>
          <w:b/>
        </w:rPr>
      </w:pPr>
      <w:r>
        <w:t xml:space="preserve"> </w:t>
      </w:r>
      <w:r w:rsidRPr="005810CF">
        <w:rPr>
          <w:b/>
        </w:rPr>
        <w:t>Возрастной состав учителей иностранного языка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620"/>
        <w:gridCol w:w="1440"/>
        <w:gridCol w:w="1620"/>
        <w:gridCol w:w="1299"/>
      </w:tblGrid>
      <w:tr w:rsidR="00B1056A" w:rsidRPr="005810CF" w:rsidTr="003F68E6">
        <w:trPr>
          <w:trHeight w:val="1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 xml:space="preserve">Возраст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>До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 xml:space="preserve">До 30 лет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>До 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>До 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 xml:space="preserve">Старше </w:t>
            </w:r>
            <w:r w:rsidRPr="005810CF">
              <w:t>50</w:t>
            </w:r>
          </w:p>
        </w:tc>
      </w:tr>
      <w:tr w:rsidR="00B1056A" w:rsidRPr="005810CF" w:rsidTr="003F68E6">
        <w:trPr>
          <w:trHeight w:val="1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>Количество учителей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11</w:t>
            </w:r>
          </w:p>
        </w:tc>
      </w:tr>
      <w:tr w:rsidR="00B1056A" w:rsidRPr="005810CF" w:rsidTr="003F68E6">
        <w:trPr>
          <w:trHeight w:val="1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 w:rsidRPr="005810CF">
              <w:t>в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14%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1%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24%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5810CF" w:rsidRDefault="00B1056A" w:rsidP="003F68E6">
            <w:r>
              <w:t>52%</w:t>
            </w:r>
          </w:p>
        </w:tc>
      </w:tr>
    </w:tbl>
    <w:p w:rsidR="00B1056A" w:rsidRDefault="00B1056A" w:rsidP="00B1056A">
      <w:pPr>
        <w:spacing w:after="0"/>
      </w:pPr>
      <w:r>
        <w:t xml:space="preserve">Основной процент составляют учителя в возрасте старше 50 лет, </w:t>
      </w:r>
      <w:proofErr w:type="spellStart"/>
      <w:r>
        <w:t>т.е</w:t>
      </w:r>
      <w:proofErr w:type="spellEnd"/>
      <w:r>
        <w:t xml:space="preserve"> пенсионного возраста.</w:t>
      </w:r>
    </w:p>
    <w:p w:rsidR="00B1056A" w:rsidRDefault="00B1056A" w:rsidP="00B1056A">
      <w:pPr>
        <w:spacing w:after="0"/>
      </w:pPr>
      <w:r>
        <w:t>Очень плохо обстоят дела с омоложением кадров. Многие молодые учителя, которые приходят в школу, надолго не задерживаются.</w:t>
      </w:r>
    </w:p>
    <w:p w:rsidR="00B1056A" w:rsidRDefault="00B1056A" w:rsidP="00B1056A">
      <w:pPr>
        <w:spacing w:after="0"/>
      </w:pPr>
      <w:r>
        <w:t>Это можно объяснить, прежде всего, интенсивностью труда учителя, и нашей</w:t>
      </w:r>
      <w:r w:rsidRPr="006F208F">
        <w:t xml:space="preserve"> </w:t>
      </w:r>
      <w:r>
        <w:t>невысокой</w:t>
      </w:r>
      <w:r w:rsidRPr="006F208F">
        <w:t xml:space="preserve"> заработной плат</w:t>
      </w:r>
      <w:r>
        <w:t>ой.</w:t>
      </w:r>
    </w:p>
    <w:p w:rsidR="00B1056A" w:rsidRDefault="00B1056A" w:rsidP="00B1056A">
      <w:pPr>
        <w:spacing w:after="0"/>
      </w:pPr>
      <w:r>
        <w:t>Практически все учителя округа работают в 2 смены (кроме 62) из-за высокой численности учащихся и имеют большую нагрузку.</w:t>
      </w:r>
    </w:p>
    <w:p w:rsidR="00B1056A" w:rsidRDefault="00B1056A" w:rsidP="00B1056A">
      <w:pPr>
        <w:spacing w:after="0"/>
      </w:pPr>
      <w:r>
        <w:t>В 62 школе, например, средняя нагрузка учителя 27 часов.</w:t>
      </w:r>
    </w:p>
    <w:p w:rsidR="00B1056A" w:rsidRPr="00E57A21" w:rsidRDefault="00B1056A" w:rsidP="00B1056A">
      <w:pPr>
        <w:spacing w:after="0"/>
      </w:pPr>
      <w:r w:rsidRPr="0093600D">
        <w:rPr>
          <w:b/>
        </w:rPr>
        <w:t>Стаж педагогической работы</w:t>
      </w:r>
    </w:p>
    <w:p w:rsidR="00B1056A" w:rsidRPr="0093600D" w:rsidRDefault="00B1056A" w:rsidP="00B1056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1101"/>
        <w:gridCol w:w="1275"/>
        <w:gridCol w:w="1276"/>
        <w:gridCol w:w="1276"/>
        <w:gridCol w:w="1276"/>
        <w:gridCol w:w="1701"/>
      </w:tblGrid>
      <w:tr w:rsidR="00B1056A" w:rsidRPr="0093600D" w:rsidTr="003F6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 w:rsidRPr="00EA2E0D">
              <w:t>Возраст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 w:rsidRPr="0093600D">
              <w:t>До 10лет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 w:rsidRPr="0093600D">
              <w:t xml:space="preserve">До 20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 w:rsidRPr="0093600D">
              <w:t>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 w:rsidRPr="0093600D">
              <w:t>До 40 лет</w:t>
            </w:r>
          </w:p>
          <w:p w:rsidR="00B1056A" w:rsidRPr="0093600D" w:rsidRDefault="00B1056A" w:rsidP="003F68E6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 xml:space="preserve">Свыше 40 </w:t>
            </w:r>
            <w:r w:rsidRPr="0093600D">
              <w:t>лет</w:t>
            </w:r>
          </w:p>
        </w:tc>
      </w:tr>
      <w:tr w:rsidR="00B1056A" w:rsidRPr="0093600D" w:rsidTr="003F6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 w:rsidRPr="00EA2E0D">
              <w:t>Количество учителей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2</w:t>
            </w:r>
          </w:p>
        </w:tc>
      </w:tr>
      <w:tr w:rsidR="00B1056A" w:rsidRPr="0093600D" w:rsidTr="003F6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 w:rsidRPr="00EA2E0D">
              <w:t>в 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19%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24%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24%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56A" w:rsidRPr="0093600D" w:rsidRDefault="00B1056A" w:rsidP="003F68E6">
            <w:pPr>
              <w:spacing w:after="0"/>
            </w:pPr>
            <w:r>
              <w:t>1%</w:t>
            </w:r>
          </w:p>
        </w:tc>
      </w:tr>
    </w:tbl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  <w:r>
        <w:t>Основной состав учителей иностранных языков – это учителя со стажем, которые работают в школе от 15 до 35 лет.</w:t>
      </w:r>
    </w:p>
    <w:p w:rsidR="00B1056A" w:rsidRDefault="00B1056A" w:rsidP="00B1056A">
      <w:pPr>
        <w:spacing w:after="0"/>
      </w:pPr>
      <w:r>
        <w:t>24% всех учителей со стажем работы до 10 лет.</w:t>
      </w:r>
    </w:p>
    <w:p w:rsidR="00B1056A" w:rsidRDefault="00B1056A" w:rsidP="00B1056A">
      <w:pPr>
        <w:spacing w:after="0"/>
      </w:pPr>
      <w:r>
        <w:t>76% всех учителей со стажем работы от 15 лет работы.</w:t>
      </w: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  <w:rPr>
          <w:b/>
        </w:rPr>
      </w:pPr>
    </w:p>
    <w:p w:rsidR="00B1056A" w:rsidRDefault="00B1056A" w:rsidP="00B1056A">
      <w:pPr>
        <w:spacing w:after="0"/>
        <w:rPr>
          <w:b/>
        </w:rPr>
      </w:pPr>
      <w:r>
        <w:rPr>
          <w:b/>
        </w:rPr>
        <w:t>Из профстандарта</w:t>
      </w:r>
    </w:p>
    <w:p w:rsidR="00B1056A" w:rsidRPr="0021637A" w:rsidRDefault="00B1056A" w:rsidP="00B1056A">
      <w:pPr>
        <w:spacing w:after="0"/>
      </w:pPr>
      <w:r w:rsidRPr="0021637A">
        <w:rPr>
          <w:bCs/>
        </w:rPr>
        <w:t xml:space="preserve">Педагог должен: </w:t>
      </w:r>
    </w:p>
    <w:p w:rsidR="00B1056A" w:rsidRPr="0021637A" w:rsidRDefault="00B1056A" w:rsidP="00B1056A">
      <w:pPr>
        <w:spacing w:after="0"/>
      </w:pPr>
      <w:r w:rsidRPr="0021637A">
        <w:t xml:space="preserve">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 </w:t>
      </w:r>
    </w:p>
    <w:p w:rsidR="00B1056A" w:rsidRPr="0021637A" w:rsidRDefault="00B1056A" w:rsidP="00B1056A">
      <w:pPr>
        <w:spacing w:after="0"/>
      </w:pPr>
      <w:r w:rsidRPr="0021637A">
        <w:t xml:space="preserve">Среди </w:t>
      </w:r>
      <w:r>
        <w:t>педагогов нашего ОМО 19 имеют высшее образование, 1 – неполное высшее, 1- среднее специальное.</w:t>
      </w:r>
    </w:p>
    <w:p w:rsidR="00B1056A" w:rsidRDefault="00B1056A" w:rsidP="00B1056A">
      <w:pPr>
        <w:spacing w:after="0"/>
        <w:rPr>
          <w:b/>
        </w:rPr>
      </w:pPr>
      <w:r w:rsidRPr="00EA2E0D">
        <w:rPr>
          <w:b/>
        </w:rPr>
        <w:t>Ур</w:t>
      </w:r>
      <w:r>
        <w:rPr>
          <w:b/>
        </w:rPr>
        <w:t>овень квалификации</w:t>
      </w:r>
    </w:p>
    <w:p w:rsidR="00B1056A" w:rsidRPr="00EA2E0D" w:rsidRDefault="00B1056A" w:rsidP="00B1056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2233"/>
        <w:gridCol w:w="2160"/>
      </w:tblGrid>
      <w:tr w:rsidR="00B1056A" w:rsidRPr="00EA2E0D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>Категория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 w:rsidRPr="00EA2E0D">
              <w:t xml:space="preserve">Высшая </w:t>
            </w:r>
            <w:r>
              <w:t>категория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 w:rsidRPr="00EA2E0D">
              <w:t xml:space="preserve">Первая </w:t>
            </w:r>
            <w:r>
              <w:t>категория</w:t>
            </w:r>
          </w:p>
          <w:p w:rsidR="00B1056A" w:rsidRPr="00EA2E0D" w:rsidRDefault="00B1056A" w:rsidP="003F68E6">
            <w:pPr>
              <w:spacing w:after="0"/>
            </w:pPr>
            <w:r w:rsidRPr="00EA2E0D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Без категории</w:t>
            </w:r>
          </w:p>
          <w:p w:rsidR="00B1056A" w:rsidRPr="00EA2E0D" w:rsidRDefault="00B1056A" w:rsidP="003F68E6">
            <w:pPr>
              <w:spacing w:after="0"/>
            </w:pPr>
          </w:p>
        </w:tc>
      </w:tr>
      <w:tr w:rsidR="00B1056A" w:rsidRPr="00EA2E0D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 w:rsidRPr="0021637A">
              <w:t>Количество учителей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  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  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11</w:t>
            </w:r>
          </w:p>
        </w:tc>
      </w:tr>
      <w:tr w:rsidR="00B1056A" w:rsidRPr="00EA2E0D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 w:rsidRPr="0021637A">
              <w:t>в %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  19%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    29%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EA2E0D" w:rsidRDefault="00B1056A" w:rsidP="003F68E6">
            <w:pPr>
              <w:spacing w:after="0"/>
            </w:pPr>
            <w:r>
              <w:t xml:space="preserve">            52%</w:t>
            </w:r>
          </w:p>
        </w:tc>
      </w:tr>
    </w:tbl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  <w:r>
        <w:t>Больше половины кадрового состава учителей не имеет категории. Это молодые учителя и пенсионеры.</w:t>
      </w: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  <w:r>
        <w:t>Из стандарта:</w:t>
      </w:r>
    </w:p>
    <w:p w:rsidR="00B1056A" w:rsidRPr="00A57079" w:rsidRDefault="00B1056A" w:rsidP="00B1056A">
      <w:pPr>
        <w:spacing w:after="0"/>
      </w:pPr>
      <w:r w:rsidRPr="00A57079">
        <w:t xml:space="preserve">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 </w:t>
      </w:r>
    </w:p>
    <w:p w:rsidR="00B1056A" w:rsidRDefault="00B1056A" w:rsidP="00B1056A">
      <w:pPr>
        <w:spacing w:after="0"/>
      </w:pPr>
      <w:r w:rsidRPr="00A57079">
        <w:t xml:space="preserve"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</w:t>
      </w:r>
      <w:r>
        <w:t>Следовательно,</w:t>
      </w:r>
    </w:p>
    <w:p w:rsidR="00B1056A" w:rsidRDefault="00B1056A" w:rsidP="00B1056A">
      <w:pPr>
        <w:spacing w:after="0"/>
      </w:pPr>
      <w:r>
        <w:t>Педагог должен:</w:t>
      </w:r>
    </w:p>
    <w:p w:rsidR="00B1056A" w:rsidRDefault="00B1056A" w:rsidP="00B1056A">
      <w:pPr>
        <w:spacing w:after="0"/>
      </w:pPr>
      <w:r w:rsidRPr="00A57079">
        <w:lastRenderedPageBreak/>
        <w:t>Владеть ИКТ-компетенциями, необходимыми и достаточными для планирования, реализации и оценки</w:t>
      </w:r>
      <w:r>
        <w:t xml:space="preserve"> образовательной работы с учащимися.</w:t>
      </w:r>
    </w:p>
    <w:p w:rsidR="00B1056A" w:rsidRDefault="00B1056A" w:rsidP="00B1056A">
      <w:pPr>
        <w:spacing w:after="0"/>
      </w:pPr>
      <w:r>
        <w:t>Чтобы выяснить, имеют ли учителя возможность овладеть этими компетенциями и полностью реализовать их, мы выяснили материально-техническое оснащение школ округа.</w:t>
      </w:r>
    </w:p>
    <w:p w:rsidR="00B1056A" w:rsidRPr="00A57079" w:rsidRDefault="00B1056A" w:rsidP="00B1056A">
      <w:pPr>
        <w:spacing w:after="0"/>
      </w:pPr>
      <w:r w:rsidRPr="00A57079">
        <w:t xml:space="preserve"> </w:t>
      </w:r>
    </w:p>
    <w:p w:rsidR="00B1056A" w:rsidRDefault="00B1056A" w:rsidP="00B1056A">
      <w:pPr>
        <w:spacing w:after="0"/>
        <w:rPr>
          <w:b/>
        </w:rPr>
      </w:pPr>
      <w:r w:rsidRPr="00A57079">
        <w:rPr>
          <w:b/>
        </w:rPr>
        <w:t>Ка</w:t>
      </w:r>
      <w:r>
        <w:rPr>
          <w:b/>
        </w:rPr>
        <w:t>бинеты иностранного языка и их техническое оснащение</w:t>
      </w:r>
    </w:p>
    <w:p w:rsidR="00B1056A" w:rsidRDefault="00B1056A" w:rsidP="00B1056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015"/>
        <w:gridCol w:w="2233"/>
        <w:gridCol w:w="2160"/>
        <w:gridCol w:w="2160"/>
        <w:gridCol w:w="2160"/>
      </w:tblGrid>
      <w:tr w:rsidR="00B1056A" w:rsidRPr="00A57079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>№ ОО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52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  62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>
              <w:t xml:space="preserve">              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>
              <w:t xml:space="preserve">                48</w:t>
            </w:r>
          </w:p>
        </w:tc>
      </w:tr>
      <w:tr w:rsidR="00B1056A" w:rsidRPr="00A57079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>
              <w:t xml:space="preserve">Количество </w:t>
            </w:r>
          </w:p>
          <w:p w:rsidR="00B1056A" w:rsidRDefault="00B1056A" w:rsidP="003F68E6">
            <w:pPr>
              <w:spacing w:after="0"/>
            </w:pPr>
            <w:r>
              <w:t>кабинетов на</w:t>
            </w:r>
          </w:p>
          <w:p w:rsidR="00B1056A" w:rsidRPr="00A57079" w:rsidRDefault="00B1056A" w:rsidP="003F68E6">
            <w:pPr>
              <w:spacing w:after="0"/>
            </w:pPr>
            <w:r>
              <w:t>школу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   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  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  <w:r>
              <w:t xml:space="preserve">               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</w:p>
        </w:tc>
      </w:tr>
      <w:tr w:rsidR="00B1056A" w:rsidRPr="00A57079" w:rsidTr="003F68E6">
        <w:trPr>
          <w:trHeight w:val="68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Default="00B1056A" w:rsidP="003F68E6">
            <w:pPr>
              <w:spacing w:after="0"/>
            </w:pPr>
            <w:r>
              <w:t>Оснащение</w:t>
            </w:r>
          </w:p>
          <w:p w:rsidR="00B1056A" w:rsidRPr="00A57079" w:rsidRDefault="00B1056A" w:rsidP="003F68E6">
            <w:pPr>
              <w:spacing w:after="0"/>
            </w:pPr>
            <w:r>
              <w:t>кабинетов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796C31" w:rsidRDefault="00B1056A" w:rsidP="003F68E6">
            <w:pPr>
              <w:spacing w:after="0"/>
            </w:pPr>
            <w:r w:rsidRPr="00796C31">
              <w:t>компьютер,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мультимедийная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установка,</w:t>
            </w:r>
          </w:p>
          <w:p w:rsidR="00B1056A" w:rsidRPr="00A57079" w:rsidRDefault="00B1056A" w:rsidP="003F68E6">
            <w:pPr>
              <w:spacing w:after="0"/>
            </w:pPr>
            <w:r>
              <w:t>2 магнитофона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796C31" w:rsidRDefault="00B1056A" w:rsidP="003F68E6">
            <w:pPr>
              <w:spacing w:after="0"/>
            </w:pPr>
            <w:r w:rsidRPr="00796C31">
              <w:t>2 компьютера,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2 мультимедийные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установки,</w:t>
            </w:r>
          </w:p>
          <w:p w:rsidR="00B1056A" w:rsidRPr="00796C31" w:rsidRDefault="00B1056A" w:rsidP="003F68E6">
            <w:pPr>
              <w:spacing w:after="0"/>
            </w:pPr>
            <w:r>
              <w:t>И</w:t>
            </w:r>
            <w:r w:rsidRPr="00796C31">
              <w:t>нтернет, магнитофон,</w:t>
            </w:r>
          </w:p>
          <w:p w:rsidR="00B1056A" w:rsidRPr="00A57079" w:rsidRDefault="00B1056A" w:rsidP="003F68E6">
            <w:pPr>
              <w:spacing w:after="0"/>
            </w:pPr>
            <w:r w:rsidRPr="00796C31">
              <w:t>музыкальный центр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796C31" w:rsidRDefault="00B1056A" w:rsidP="003F68E6">
            <w:pPr>
              <w:spacing w:after="0"/>
            </w:pPr>
            <w:r w:rsidRPr="00796C31">
              <w:t>компьютер,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мультимедийная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установка</w:t>
            </w:r>
            <w:r>
              <w:t>,</w:t>
            </w:r>
          </w:p>
          <w:p w:rsidR="00B1056A" w:rsidRPr="00796C31" w:rsidRDefault="00B1056A" w:rsidP="003F68E6">
            <w:pPr>
              <w:spacing w:after="0"/>
            </w:pPr>
            <w:r w:rsidRPr="00796C31">
              <w:t>ноутбук</w:t>
            </w:r>
          </w:p>
          <w:p w:rsidR="00B1056A" w:rsidRPr="00A57079" w:rsidRDefault="00B1056A" w:rsidP="003F68E6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796C31" w:rsidRDefault="00B1056A" w:rsidP="003F68E6">
            <w:pPr>
              <w:spacing w:after="0"/>
            </w:pPr>
            <w:r w:rsidRPr="00796C31">
              <w:t>компьютер,</w:t>
            </w:r>
          </w:p>
          <w:p w:rsidR="00B1056A" w:rsidRPr="00796C31" w:rsidRDefault="00B1056A" w:rsidP="003F68E6">
            <w:pPr>
              <w:spacing w:after="0"/>
            </w:pPr>
            <w:r>
              <w:t>И</w:t>
            </w:r>
            <w:r w:rsidRPr="00796C31">
              <w:t>нтернет</w:t>
            </w:r>
          </w:p>
          <w:p w:rsidR="00B1056A" w:rsidRPr="00A57079" w:rsidRDefault="00B1056A" w:rsidP="003F68E6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56A" w:rsidRPr="00A57079" w:rsidRDefault="00B1056A" w:rsidP="003F68E6">
            <w:pPr>
              <w:spacing w:after="0"/>
            </w:pPr>
          </w:p>
        </w:tc>
      </w:tr>
    </w:tbl>
    <w:p w:rsidR="00B1056A" w:rsidRPr="00A57079" w:rsidRDefault="00B1056A" w:rsidP="00B1056A">
      <w:pPr>
        <w:spacing w:after="0"/>
        <w:rPr>
          <w:b/>
        </w:rPr>
      </w:pPr>
    </w:p>
    <w:p w:rsidR="00B1056A" w:rsidRDefault="00B1056A" w:rsidP="00B1056A">
      <w:pPr>
        <w:spacing w:after="0"/>
      </w:pPr>
      <w:r>
        <w:t>На всех учителей округа приходится: 6 компьютеров,</w:t>
      </w:r>
      <w:r w:rsidRPr="00796C31">
        <w:t>4 мультимедийные</w:t>
      </w:r>
      <w:r>
        <w:t xml:space="preserve"> </w:t>
      </w:r>
      <w:r w:rsidRPr="00796C31">
        <w:t>установки,3 магнитофона</w:t>
      </w:r>
      <w:r>
        <w:t>,</w:t>
      </w:r>
      <w:r w:rsidRPr="00796C31">
        <w:t>1 музыкальный центр</w:t>
      </w:r>
      <w:r>
        <w:t xml:space="preserve">. Не все учителя округа имеют доступ к ресурсам Интернет в школе. </w:t>
      </w: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  <w:r>
        <w:t>Однако, отсутствие компьютеров и проекторов не мешает учителям быть профессионалами своего дела, д</w:t>
      </w:r>
      <w:r w:rsidRPr="000E26CC">
        <w:t>емонстрировать знани</w:t>
      </w:r>
      <w:r>
        <w:t xml:space="preserve">е предмета и программы обучения, </w:t>
      </w:r>
      <w:r w:rsidRPr="000E26CC">
        <w:t>планировать, проводить уроки, анализировать их эф</w:t>
      </w:r>
      <w:r>
        <w:t>фективность, в</w:t>
      </w:r>
      <w:r w:rsidRPr="000E26CC">
        <w:t>ладеть</w:t>
      </w:r>
      <w:r>
        <w:t xml:space="preserve"> разнообразными</w:t>
      </w:r>
      <w:r w:rsidRPr="000E26CC">
        <w:t xml:space="preserve"> формами и методами об</w:t>
      </w:r>
      <w:r>
        <w:t>учения,</w:t>
      </w:r>
    </w:p>
    <w:p w:rsidR="00B1056A" w:rsidRPr="00796C31" w:rsidRDefault="00B1056A" w:rsidP="00B1056A">
      <w:pPr>
        <w:spacing w:after="0"/>
      </w:pPr>
      <w:r>
        <w:t>как того требует от нас стандарт.</w:t>
      </w:r>
    </w:p>
    <w:p w:rsidR="00B1056A" w:rsidRDefault="00B1056A" w:rsidP="00B1056A">
      <w:pPr>
        <w:spacing w:after="0"/>
      </w:pPr>
      <w:r>
        <w:t>Об этом говорят следующие показатели, демонстрирующие профессиональный рост учителей округа в 2014-2015 учебном году.</w:t>
      </w: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</w:p>
    <w:p w:rsidR="00B1056A" w:rsidRDefault="00B1056A" w:rsidP="00B1056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194"/>
        <w:gridCol w:w="1193"/>
        <w:gridCol w:w="1858"/>
        <w:gridCol w:w="1194"/>
        <w:gridCol w:w="1758"/>
        <w:gridCol w:w="1679"/>
        <w:gridCol w:w="948"/>
        <w:gridCol w:w="1443"/>
      </w:tblGrid>
      <w:tr w:rsidR="00B1056A" w:rsidRPr="000E26CC" w:rsidTr="003F68E6">
        <w:tc>
          <w:tcPr>
            <w:tcW w:w="1803" w:type="dxa"/>
            <w:vMerge w:val="restart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lastRenderedPageBreak/>
              <w:t>Заседание ОМО</w:t>
            </w:r>
          </w:p>
        </w:tc>
        <w:tc>
          <w:tcPr>
            <w:tcW w:w="2387" w:type="dxa"/>
            <w:gridSpan w:val="2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     Педсовет</w:t>
            </w:r>
          </w:p>
        </w:tc>
        <w:tc>
          <w:tcPr>
            <w:tcW w:w="1858" w:type="dxa"/>
            <w:vMerge w:val="restart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Публикации</w:t>
            </w:r>
          </w:p>
        </w:tc>
        <w:tc>
          <w:tcPr>
            <w:tcW w:w="2952" w:type="dxa"/>
            <w:gridSpan w:val="2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 Открытые уроки</w:t>
            </w:r>
          </w:p>
        </w:tc>
        <w:tc>
          <w:tcPr>
            <w:tcW w:w="1679" w:type="dxa"/>
            <w:vMerge w:val="restart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 Вебинары</w:t>
            </w:r>
          </w:p>
        </w:tc>
        <w:tc>
          <w:tcPr>
            <w:tcW w:w="2391" w:type="dxa"/>
            <w:gridSpan w:val="2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   Семинары,</w:t>
            </w:r>
          </w:p>
          <w:p w:rsidR="00B1056A" w:rsidRPr="000E26CC" w:rsidRDefault="00B1056A" w:rsidP="003F68E6">
            <w:pPr>
              <w:spacing w:after="200" w:line="276" w:lineRule="auto"/>
            </w:pPr>
            <w:r w:rsidRPr="000E26CC">
              <w:t xml:space="preserve">     Конференции</w:t>
            </w:r>
          </w:p>
        </w:tc>
      </w:tr>
      <w:tr w:rsidR="00B1056A" w:rsidRPr="000E26CC" w:rsidTr="003F68E6">
        <w:trPr>
          <w:trHeight w:val="1087"/>
        </w:trPr>
        <w:tc>
          <w:tcPr>
            <w:tcW w:w="1803" w:type="dxa"/>
            <w:vMerge/>
          </w:tcPr>
          <w:p w:rsidR="00B1056A" w:rsidRPr="000E26CC" w:rsidRDefault="00B1056A" w:rsidP="003F68E6">
            <w:pPr>
              <w:spacing w:after="200" w:line="276" w:lineRule="auto"/>
            </w:pPr>
          </w:p>
        </w:tc>
        <w:tc>
          <w:tcPr>
            <w:tcW w:w="1194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школьный</w:t>
            </w:r>
          </w:p>
        </w:tc>
        <w:tc>
          <w:tcPr>
            <w:tcW w:w="1193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городской</w:t>
            </w:r>
          </w:p>
        </w:tc>
        <w:tc>
          <w:tcPr>
            <w:tcW w:w="1858" w:type="dxa"/>
            <w:vMerge/>
          </w:tcPr>
          <w:p w:rsidR="00B1056A" w:rsidRPr="000E26CC" w:rsidRDefault="00B1056A" w:rsidP="003F68E6">
            <w:pPr>
              <w:spacing w:after="200" w:line="276" w:lineRule="auto"/>
            </w:pPr>
          </w:p>
        </w:tc>
        <w:tc>
          <w:tcPr>
            <w:tcW w:w="1194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школьный уровень</w:t>
            </w:r>
          </w:p>
        </w:tc>
        <w:tc>
          <w:tcPr>
            <w:tcW w:w="1758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муниципальный</w:t>
            </w:r>
          </w:p>
          <w:p w:rsidR="00B1056A" w:rsidRPr="000E26CC" w:rsidRDefault="00B1056A" w:rsidP="003F68E6">
            <w:pPr>
              <w:spacing w:after="200" w:line="276" w:lineRule="auto"/>
            </w:pPr>
            <w:r w:rsidRPr="000E26CC">
              <w:t>уровень</w:t>
            </w:r>
          </w:p>
        </w:tc>
        <w:tc>
          <w:tcPr>
            <w:tcW w:w="1679" w:type="dxa"/>
            <w:vMerge/>
          </w:tcPr>
          <w:p w:rsidR="00B1056A" w:rsidRPr="000E26CC" w:rsidRDefault="00B1056A" w:rsidP="003F68E6">
            <w:pPr>
              <w:spacing w:after="200" w:line="276" w:lineRule="auto"/>
            </w:pPr>
          </w:p>
        </w:tc>
        <w:tc>
          <w:tcPr>
            <w:tcW w:w="948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Участие</w:t>
            </w:r>
          </w:p>
        </w:tc>
        <w:tc>
          <w:tcPr>
            <w:tcW w:w="1443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Выступление</w:t>
            </w:r>
          </w:p>
        </w:tc>
      </w:tr>
      <w:tr w:rsidR="00B1056A" w:rsidRPr="000E26CC" w:rsidTr="003F68E6">
        <w:tc>
          <w:tcPr>
            <w:tcW w:w="1803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8 чел</w:t>
            </w:r>
          </w:p>
        </w:tc>
        <w:tc>
          <w:tcPr>
            <w:tcW w:w="1194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7 чел</w:t>
            </w:r>
          </w:p>
        </w:tc>
        <w:tc>
          <w:tcPr>
            <w:tcW w:w="1193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8 чел</w:t>
            </w:r>
          </w:p>
        </w:tc>
        <w:tc>
          <w:tcPr>
            <w:tcW w:w="1858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7 чел</w:t>
            </w:r>
          </w:p>
        </w:tc>
        <w:tc>
          <w:tcPr>
            <w:tcW w:w="1194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10 чел</w:t>
            </w:r>
          </w:p>
        </w:tc>
        <w:tc>
          <w:tcPr>
            <w:tcW w:w="1758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6 чел</w:t>
            </w:r>
          </w:p>
        </w:tc>
        <w:tc>
          <w:tcPr>
            <w:tcW w:w="1679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8 чел</w:t>
            </w:r>
          </w:p>
        </w:tc>
        <w:tc>
          <w:tcPr>
            <w:tcW w:w="948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15 чел</w:t>
            </w:r>
          </w:p>
        </w:tc>
        <w:tc>
          <w:tcPr>
            <w:tcW w:w="1443" w:type="dxa"/>
          </w:tcPr>
          <w:p w:rsidR="00B1056A" w:rsidRPr="000E26CC" w:rsidRDefault="00B1056A" w:rsidP="003F68E6">
            <w:pPr>
              <w:spacing w:after="200" w:line="276" w:lineRule="auto"/>
            </w:pPr>
            <w:r w:rsidRPr="000E26CC">
              <w:t>1 чел</w:t>
            </w:r>
          </w:p>
          <w:p w:rsidR="00B1056A" w:rsidRPr="000E26CC" w:rsidRDefault="00B1056A" w:rsidP="003F68E6">
            <w:pPr>
              <w:spacing w:after="200" w:line="276" w:lineRule="auto"/>
            </w:pPr>
          </w:p>
        </w:tc>
      </w:tr>
    </w:tbl>
    <w:p w:rsidR="00B1056A" w:rsidRDefault="00B1056A" w:rsidP="00B1056A"/>
    <w:p w:rsidR="00B1056A" w:rsidRDefault="00B1056A" w:rsidP="00B1056A">
      <w:pPr>
        <w:spacing w:after="0"/>
      </w:pPr>
      <w:r>
        <w:t>На заседании округа с докладами по актуальным вопросам развития системы образования выступили 8 человек.</w:t>
      </w:r>
    </w:p>
    <w:p w:rsidR="00B1056A" w:rsidRDefault="00B1056A" w:rsidP="00B1056A">
      <w:pPr>
        <w:spacing w:after="0"/>
      </w:pPr>
      <w:r>
        <w:t>Транслировали свой педагогический опыт в рамках школьных педсоветов 7 человек, готовились к выступлению на сегодняшнем городском педсовете 8 человек. Распространили свой педагогический опыт через публикацию 7 человек. 16 педагогов дали открытые уроки на разных уровнях. Изучали педагогический опыт на вебинарах 8 человек, семинарах – 15 человек. 1 учитель выступал на городской конференции.</w:t>
      </w:r>
    </w:p>
    <w:p w:rsidR="00B1056A" w:rsidRPr="006A588B" w:rsidRDefault="00B1056A" w:rsidP="00B1056A">
      <w:r>
        <w:t>Профессиональный стандарт учителя – это официальное закрепление некоторых новых требований к профессии педагога, возникших под влиянием современных тенденций в образовании. Работа учителя, его компетенции постоянно обсуждаются и критикуются в нашем обществе. Поэтому,</w:t>
      </w:r>
      <w:r w:rsidRPr="00177CEC">
        <w:rPr>
          <w:rFonts w:ascii="Arial" w:hAnsi="Arial" w:cs="Arial"/>
          <w:color w:val="333333"/>
          <w:sz w:val="20"/>
          <w:szCs w:val="20"/>
        </w:rPr>
        <w:t xml:space="preserve"> </w:t>
      </w:r>
      <w:r w:rsidRPr="00177CEC">
        <w:t>критерии качества проф</w:t>
      </w:r>
      <w:r>
        <w:t xml:space="preserve">ессиональной </w:t>
      </w:r>
      <w:r w:rsidRPr="00177CEC">
        <w:t>деятельности педагога нужны.</w:t>
      </w:r>
      <w:r>
        <w:t xml:space="preserve"> Однако, в этих критериях необходимо учитывать возможность </w:t>
      </w:r>
      <w:r w:rsidRPr="00177CEC">
        <w:t>созда</w:t>
      </w:r>
      <w:r>
        <w:t>ния условий</w:t>
      </w:r>
      <w:r w:rsidRPr="00177CEC">
        <w:t xml:space="preserve"> для коррекции проблемных зон педагогической деятельности. </w:t>
      </w:r>
    </w:p>
    <w:p w:rsidR="00364C1C" w:rsidRDefault="00364C1C">
      <w:bookmarkStart w:id="0" w:name="_GoBack"/>
      <w:bookmarkEnd w:id="0"/>
    </w:p>
    <w:sectPr w:rsidR="00364C1C" w:rsidSect="00E03A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7A"/>
    <w:rsid w:val="00364C1C"/>
    <w:rsid w:val="005D517A"/>
    <w:rsid w:val="00B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343DE-C1B2-47AE-B584-943B38BF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2015-03-23T17:38:00Z</dcterms:created>
  <dcterms:modified xsi:type="dcterms:W3CDTF">2015-03-23T17:39:00Z</dcterms:modified>
</cp:coreProperties>
</file>